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3137E" w:rsidR="0043137E" w:rsidP="00C22F33" w:rsidRDefault="0043137E" w14:paraId="77C2C731" w14:textId="6C1822E2">
      <w:pPr>
        <w:jc w:val="center"/>
      </w:pPr>
      <w:r w:rsidRPr="0043137E">
        <w:rPr>
          <w:b/>
          <w:bCs/>
        </w:rPr>
        <w:t xml:space="preserve">Pravidla prodejní akce na produkty značky </w:t>
      </w:r>
      <w:r w:rsidR="008D1298">
        <w:rPr>
          <w:b/>
          <w:bCs/>
        </w:rPr>
        <w:t>PCI</w:t>
      </w:r>
      <w:r w:rsidR="003C3994">
        <w:rPr>
          <w:b/>
          <w:bCs/>
        </w:rPr>
        <w:t>-FASÁDY</w:t>
      </w:r>
      <w:r w:rsidR="008D1298">
        <w:rPr>
          <w:b/>
          <w:bCs/>
        </w:rPr>
        <w:t xml:space="preserve"> 2026-07</w:t>
      </w:r>
    </w:p>
    <w:p w:rsidR="00127B7C" w:rsidP="0043137E" w:rsidRDefault="0043137E" w14:paraId="6C03B661" w14:textId="06187ECA">
      <w:pPr>
        <w:numPr>
          <w:ilvl w:val="0"/>
          <w:numId w:val="1"/>
        </w:numPr>
      </w:pPr>
      <w:r w:rsidRPr="0043137E">
        <w:rPr>
          <w:b/>
          <w:bCs/>
        </w:rPr>
        <w:t>Pořadatel akce</w:t>
      </w:r>
      <w:r w:rsidR="00E00C2C">
        <w:rPr>
          <w:b/>
          <w:bCs/>
        </w:rPr>
        <w:t>.</w:t>
      </w:r>
      <w:r w:rsidRPr="0043137E">
        <w:t xml:space="preserve"> </w:t>
      </w:r>
    </w:p>
    <w:p w:rsidRPr="008D1298" w:rsidR="0043137E" w:rsidP="00A4450E" w:rsidRDefault="0043137E" w14:paraId="06609D50" w14:textId="4AD93932">
      <w:pPr>
        <w:ind w:left="720"/>
        <w:jc w:val="both"/>
      </w:pPr>
      <w:r w:rsidRPr="0043137E">
        <w:t xml:space="preserve">Akci organizuje </w:t>
      </w:r>
      <w:r w:rsidRPr="008D1298">
        <w:t xml:space="preserve">společnost </w:t>
      </w:r>
      <w:r w:rsidRPr="008D1298" w:rsidR="00CD0267">
        <w:rPr>
          <w:b/>
          <w:bCs/>
        </w:rPr>
        <w:t>Sika</w:t>
      </w:r>
      <w:r w:rsidRPr="008D1298" w:rsidR="008D1298">
        <w:rPr>
          <w:b/>
          <w:bCs/>
        </w:rPr>
        <w:t xml:space="preserve"> CZ</w:t>
      </w:r>
      <w:r w:rsidR="00EF502A">
        <w:rPr>
          <w:b/>
          <w:bCs/>
        </w:rPr>
        <w:t>,</w:t>
      </w:r>
      <w:r w:rsidRPr="008D1298" w:rsidR="00CD0267">
        <w:rPr>
          <w:b/>
          <w:bCs/>
        </w:rPr>
        <w:t xml:space="preserve"> s.r.o.</w:t>
      </w:r>
      <w:r w:rsidRPr="008D1298" w:rsidR="00CD0267">
        <w:t xml:space="preserve">, IČO: </w:t>
      </w:r>
      <w:r w:rsidRPr="008D1298" w:rsidR="008D1298">
        <w:t>49437151</w:t>
      </w:r>
      <w:r w:rsidRPr="008D1298" w:rsidR="00CD0267">
        <w:t xml:space="preserve">, se sídlem </w:t>
      </w:r>
      <w:r w:rsidRPr="008D1298" w:rsidR="008D1298">
        <w:t>Bystrcká 1132/36, 624 00 Brno</w:t>
      </w:r>
      <w:r w:rsidRPr="008D1298" w:rsidR="00CD0267">
        <w:t>.</w:t>
      </w:r>
    </w:p>
    <w:p w:rsidRPr="00B0602A" w:rsidR="00127B7C" w:rsidP="0043137E" w:rsidRDefault="0043137E" w14:paraId="5DA8CF3B" w14:textId="4E83015C">
      <w:pPr>
        <w:numPr>
          <w:ilvl w:val="0"/>
          <w:numId w:val="1"/>
        </w:numPr>
      </w:pPr>
      <w:r w:rsidRPr="00B0602A">
        <w:rPr>
          <w:b/>
          <w:bCs/>
        </w:rPr>
        <w:t>Trvání akce</w:t>
      </w:r>
      <w:r w:rsidRPr="00B0602A" w:rsidR="00E00C2C">
        <w:rPr>
          <w:b/>
          <w:bCs/>
        </w:rPr>
        <w:t>.</w:t>
      </w:r>
      <w:r w:rsidRPr="00B0602A">
        <w:t xml:space="preserve"> </w:t>
      </w:r>
    </w:p>
    <w:p w:rsidRPr="00B0602A" w:rsidR="0043137E" w:rsidP="00127B7C" w:rsidRDefault="0043137E" w14:paraId="437FB8F0" w14:textId="4134020E">
      <w:pPr>
        <w:ind w:left="720"/>
      </w:pPr>
      <w:r w:rsidRPr="00B0602A">
        <w:t xml:space="preserve">Akce probíhá od </w:t>
      </w:r>
      <w:r w:rsidRPr="00B0602A" w:rsidR="00224FF1">
        <w:t>27</w:t>
      </w:r>
      <w:r w:rsidRPr="00B0602A" w:rsidR="00CD0267">
        <w:t xml:space="preserve">. </w:t>
      </w:r>
      <w:r w:rsidRPr="00B0602A" w:rsidR="00224FF1">
        <w:t>7</w:t>
      </w:r>
      <w:r w:rsidRPr="00B0602A" w:rsidR="00CD0267">
        <w:t>. 202</w:t>
      </w:r>
      <w:r w:rsidRPr="00B0602A" w:rsidR="00035688">
        <w:t>6</w:t>
      </w:r>
      <w:r w:rsidRPr="00B0602A" w:rsidR="00CD0267">
        <w:t xml:space="preserve"> </w:t>
      </w:r>
      <w:r w:rsidRPr="00B0602A">
        <w:t xml:space="preserve">do </w:t>
      </w:r>
      <w:r w:rsidRPr="00B0602A" w:rsidR="00CD0267">
        <w:t>31. 10. 202</w:t>
      </w:r>
      <w:r w:rsidRPr="00B0602A" w:rsidR="00035688">
        <w:t>6</w:t>
      </w:r>
      <w:r w:rsidRPr="00B0602A" w:rsidR="00CD0267">
        <w:t>.</w:t>
      </w:r>
    </w:p>
    <w:p w:rsidRPr="00B0602A" w:rsidR="00127B7C" w:rsidP="00C22F33" w:rsidRDefault="0043137E" w14:paraId="49145B24" w14:textId="6298E793">
      <w:pPr>
        <w:numPr>
          <w:ilvl w:val="0"/>
          <w:numId w:val="1"/>
        </w:numPr>
        <w:jc w:val="both"/>
      </w:pPr>
      <w:r w:rsidRPr="00B0602A">
        <w:rPr>
          <w:b/>
          <w:bCs/>
        </w:rPr>
        <w:t>Účastníci akce</w:t>
      </w:r>
      <w:r w:rsidRPr="00B0602A" w:rsidR="00E00C2C">
        <w:rPr>
          <w:b/>
          <w:bCs/>
        </w:rPr>
        <w:t>.</w:t>
      </w:r>
      <w:r w:rsidRPr="00B0602A">
        <w:t xml:space="preserve"> </w:t>
      </w:r>
    </w:p>
    <w:p w:rsidRPr="00B0602A" w:rsidR="0043137E" w:rsidP="00127B7C" w:rsidRDefault="0043137E" w14:paraId="15E6B5D8" w14:textId="54F16FDA">
      <w:pPr>
        <w:ind w:left="720"/>
        <w:jc w:val="both"/>
      </w:pPr>
      <w:r w:rsidRPr="0043137E">
        <w:t>Akce</w:t>
      </w:r>
      <w:r w:rsidR="00C22F33">
        <w:t xml:space="preserve"> </w:t>
      </w:r>
      <w:r w:rsidRPr="0043137E">
        <w:t>je určena pouze pro zpracovatelské společnosti</w:t>
      </w:r>
      <w:r w:rsidR="00127B7C">
        <w:t xml:space="preserve"> vč. OSVČ</w:t>
      </w:r>
      <w:r w:rsidRPr="0043137E">
        <w:t xml:space="preserve">, které nakoupí </w:t>
      </w:r>
      <w:r w:rsidR="003376D6">
        <w:t xml:space="preserve">uvedené </w:t>
      </w:r>
      <w:r w:rsidRPr="0043137E">
        <w:t xml:space="preserve">produkty značky </w:t>
      </w:r>
      <w:r w:rsidR="008D1298">
        <w:t>PCI a Sika</w:t>
      </w:r>
      <w:r w:rsidRPr="0043137E">
        <w:t xml:space="preserve"> u smluvních </w:t>
      </w:r>
      <w:r w:rsidRPr="00B0602A">
        <w:t>velkoobchodních partnerů společnosti Sika CZ</w:t>
      </w:r>
      <w:r w:rsidRPr="00B0602A" w:rsidR="00EF502A">
        <w:t>,</w:t>
      </w:r>
      <w:r w:rsidRPr="00B0602A" w:rsidR="00475785">
        <w:t xml:space="preserve"> s.r.o.</w:t>
      </w:r>
      <w:r w:rsidRPr="00B0602A">
        <w:t xml:space="preserve">, </w:t>
      </w:r>
      <w:r w:rsidRPr="00B0602A" w:rsidR="00C22F33">
        <w:t>kteří projeví zájem zúčastnit se Akce.</w:t>
      </w:r>
      <w:r w:rsidRPr="00B0602A">
        <w:t xml:space="preserve"> Akce není určena pro koncové spotřebitele.</w:t>
      </w:r>
    </w:p>
    <w:p w:rsidRPr="00B0602A" w:rsidR="006F63FD" w:rsidP="006F63FD" w:rsidRDefault="0043137E" w14:paraId="147EFFF0" w14:textId="10C2D506">
      <w:pPr>
        <w:numPr>
          <w:ilvl w:val="0"/>
          <w:numId w:val="1"/>
        </w:numPr>
        <w:jc w:val="both"/>
      </w:pPr>
      <w:r w:rsidRPr="00B0602A">
        <w:rPr>
          <w:b/>
          <w:bCs/>
        </w:rPr>
        <w:t>Podmínky účasti</w:t>
      </w:r>
      <w:r w:rsidRPr="00B0602A" w:rsidR="00E00C2C">
        <w:rPr>
          <w:b/>
          <w:bCs/>
        </w:rPr>
        <w:t>.</w:t>
      </w:r>
      <w:r w:rsidRPr="00B0602A">
        <w:t xml:space="preserve"> </w:t>
      </w:r>
    </w:p>
    <w:p w:rsidR="006F63FD" w:rsidP="006F63FD" w:rsidRDefault="0043137E" w14:paraId="50B89C8A" w14:textId="28CAFBC9">
      <w:pPr>
        <w:ind w:left="720"/>
        <w:jc w:val="both"/>
      </w:pPr>
      <w:r w:rsidRPr="00B0602A">
        <w:t>4.1. Zpracovatelská společnost se do akce přihlásí vyplněním</w:t>
      </w:r>
      <w:r w:rsidRPr="00B0602A" w:rsidR="00AE3EC7">
        <w:t xml:space="preserve"> letáku –</w:t>
      </w:r>
      <w:r w:rsidRPr="00B0602A">
        <w:t xml:space="preserve"> registrační</w:t>
      </w:r>
      <w:r w:rsidRPr="00B0602A" w:rsidR="00AE3EC7">
        <w:t xml:space="preserve"> </w:t>
      </w:r>
      <w:r w:rsidRPr="00B0602A">
        <w:t>karty, kterou</w:t>
      </w:r>
      <w:r w:rsidRPr="00B0602A" w:rsidR="00C03538">
        <w:t xml:space="preserve"> nejpozději do </w:t>
      </w:r>
      <w:r w:rsidRPr="00B0602A" w:rsidR="002F7F4A">
        <w:t>9</w:t>
      </w:r>
      <w:r w:rsidRPr="00B0602A" w:rsidR="00CD0267">
        <w:t xml:space="preserve">. </w:t>
      </w:r>
      <w:r w:rsidRPr="00B0602A" w:rsidR="002F7F4A">
        <w:t>11</w:t>
      </w:r>
      <w:r w:rsidRPr="00B0602A" w:rsidR="00CD0267">
        <w:t>. 202</w:t>
      </w:r>
      <w:r w:rsidRPr="00B0602A" w:rsidR="00C03538">
        <w:t>6</w:t>
      </w:r>
      <w:r w:rsidRPr="00B0602A">
        <w:t xml:space="preserve"> odevzdá svému obchodnímu</w:t>
      </w:r>
      <w:r w:rsidRPr="0043137E">
        <w:t xml:space="preserve"> zástupci. </w:t>
      </w:r>
    </w:p>
    <w:p w:rsidR="006F63FD" w:rsidP="006F63FD" w:rsidRDefault="0043137E" w14:paraId="24122DCE" w14:textId="486CC1EB">
      <w:pPr>
        <w:ind w:left="720"/>
        <w:jc w:val="both"/>
      </w:pPr>
      <w:r w:rsidRPr="0043137E">
        <w:t xml:space="preserve">4.2. V registrační kartě společnost uvede požadovaný typ odměny. </w:t>
      </w:r>
      <w:r w:rsidR="004C2CAC">
        <w:t>Typ</w:t>
      </w:r>
      <w:r w:rsidR="003376D6">
        <w:t>y</w:t>
      </w:r>
      <w:r w:rsidR="004C2CAC">
        <w:t xml:space="preserve"> odměn a určené</w:t>
      </w:r>
      <w:r w:rsidR="00520874">
        <w:t xml:space="preserve"> hranice </w:t>
      </w:r>
      <w:r w:rsidR="004C2CAC">
        <w:t xml:space="preserve">odběrů produktů </w:t>
      </w:r>
      <w:r w:rsidR="00520874">
        <w:t>jsou</w:t>
      </w:r>
      <w:r w:rsidR="004C2CAC">
        <w:t xml:space="preserve"> uveden</w:t>
      </w:r>
      <w:r w:rsidR="00520874">
        <w:t>y</w:t>
      </w:r>
      <w:r w:rsidR="004C2CAC">
        <w:t xml:space="preserve"> v </w:t>
      </w:r>
      <w:r w:rsidR="00826324">
        <w:t>letáku</w:t>
      </w:r>
      <w:r w:rsidR="004C2CAC">
        <w:t>.</w:t>
      </w:r>
    </w:p>
    <w:p w:rsidR="0043137E" w:rsidP="006F63FD" w:rsidRDefault="0043137E" w14:paraId="4EDACD19" w14:textId="22AD1F5A">
      <w:pPr>
        <w:ind w:left="720"/>
        <w:jc w:val="both"/>
      </w:pPr>
      <w:r w:rsidRPr="0043137E">
        <w:t xml:space="preserve">4.3. Registrační karty </w:t>
      </w:r>
      <w:r w:rsidRPr="00167E8F">
        <w:t>budou evidovány v tabulce (xls), kterou spravuje marketingové oddělení společnosti Sika</w:t>
      </w:r>
      <w:r w:rsidRPr="00167E8F" w:rsidR="00EF502A">
        <w:t xml:space="preserve"> CZ</w:t>
      </w:r>
      <w:r w:rsidRPr="00167E8F">
        <w:t>, s.r.o.</w:t>
      </w:r>
    </w:p>
    <w:p w:rsidRPr="00B20AA0" w:rsidR="00B20AA0" w:rsidP="006F63FD" w:rsidRDefault="005C0ECE" w14:paraId="1335C2F0" w14:textId="09435D98">
      <w:pPr>
        <w:ind w:left="720"/>
        <w:jc w:val="both"/>
      </w:pPr>
      <w:r>
        <w:t xml:space="preserve">4.4. </w:t>
      </w:r>
      <w:r w:rsidR="00AE3F18">
        <w:t xml:space="preserve">Níže jsou uvedeny </w:t>
      </w:r>
      <w:r w:rsidR="00436EB0">
        <w:t>skupiny produktů a produkty</w:t>
      </w:r>
      <w:r w:rsidRPr="00B20AA0" w:rsidR="00C72A6D">
        <w:t>, kterých se akce týká</w:t>
      </w:r>
      <w:r w:rsidRPr="00B20AA0" w:rsidR="00A4450E">
        <w:t xml:space="preserve">. Podmínkou odběru zařazeného do akce je vždy </w:t>
      </w:r>
      <w:r w:rsidR="00436EB0">
        <w:t xml:space="preserve">současný </w:t>
      </w:r>
      <w:r w:rsidRPr="00B20AA0" w:rsidR="00A4450E">
        <w:t>odběr</w:t>
      </w:r>
      <w:r w:rsidRPr="00B20AA0" w:rsidR="00B20AA0">
        <w:t xml:space="preserve"> všech typů sortimentu:</w:t>
      </w:r>
    </w:p>
    <w:p w:rsidRPr="00B20AA0" w:rsidR="00B20AA0" w:rsidP="00CD0476" w:rsidRDefault="00B20AA0" w14:paraId="7428E957" w14:textId="77777777">
      <w:pPr>
        <w:pStyle w:val="Odstavecseseznamem"/>
        <w:numPr>
          <w:ilvl w:val="0"/>
          <w:numId w:val="3"/>
        </w:numPr>
        <w:jc w:val="both"/>
      </w:pPr>
      <w:r w:rsidRPr="00B20AA0">
        <w:t>Penetrace</w:t>
      </w:r>
    </w:p>
    <w:p w:rsidRPr="00B20AA0" w:rsidR="00B20AA0" w:rsidP="00CD0476" w:rsidRDefault="00B20AA0" w14:paraId="293C5DD6" w14:textId="77777777">
      <w:pPr>
        <w:pStyle w:val="Odstavecseseznamem"/>
        <w:numPr>
          <w:ilvl w:val="0"/>
          <w:numId w:val="3"/>
        </w:numPr>
        <w:jc w:val="both"/>
      </w:pPr>
      <w:r w:rsidRPr="00B20AA0">
        <w:t>Lepidla</w:t>
      </w:r>
    </w:p>
    <w:p w:rsidRPr="00B20AA0" w:rsidR="00B20AA0" w:rsidP="00CD0476" w:rsidRDefault="00B20AA0" w14:paraId="4D57AA0B" w14:textId="77777777">
      <w:pPr>
        <w:pStyle w:val="Odstavecseseznamem"/>
        <w:numPr>
          <w:ilvl w:val="0"/>
          <w:numId w:val="3"/>
        </w:numPr>
        <w:jc w:val="both"/>
      </w:pPr>
      <w:r w:rsidRPr="00B20AA0">
        <w:t>Omítky</w:t>
      </w:r>
    </w:p>
    <w:p w:rsidRPr="00B20AA0" w:rsidR="005C0ECE" w:rsidP="00CD0476" w:rsidRDefault="00B20AA0" w14:paraId="4BAB039C" w14:textId="19564130">
      <w:pPr>
        <w:pStyle w:val="Odstavecseseznamem"/>
        <w:numPr>
          <w:ilvl w:val="0"/>
          <w:numId w:val="3"/>
        </w:numPr>
        <w:jc w:val="both"/>
      </w:pPr>
      <w:r w:rsidRPr="00B20AA0">
        <w:t>EPS</w:t>
      </w:r>
    </w:p>
    <w:p w:rsidR="00A56E68" w:rsidP="00A56E68" w:rsidRDefault="00CD0476" w14:paraId="765523FE" w14:textId="4B53AA43">
      <w:pPr>
        <w:ind w:left="720"/>
        <w:jc w:val="both"/>
      </w:pPr>
      <w:r>
        <w:t>Kaž</w:t>
      </w:r>
      <w:r w:rsidR="00AD24DD">
        <w:t xml:space="preserve">dá jednotlivá skupina musí být zastoupena minimálně </w:t>
      </w:r>
      <w:r w:rsidR="001371B4">
        <w:t>10</w:t>
      </w:r>
      <w:r w:rsidR="00AD24DD">
        <w:t xml:space="preserve"> %</w:t>
      </w:r>
      <w:r w:rsidR="001371B4">
        <w:t xml:space="preserve"> finanční</w:t>
      </w:r>
      <w:r w:rsidR="00AD24DD">
        <w:t xml:space="preserve"> </w:t>
      </w:r>
      <w:r w:rsidR="001371B4">
        <w:t>hodnoty celkově odebraného sortimentu</w:t>
      </w:r>
      <w:r w:rsidR="00A56E68">
        <w:t>.</w:t>
      </w:r>
    </w:p>
    <w:p w:rsidRPr="00B20AA0" w:rsidR="00A56E68" w:rsidP="00A56E68" w:rsidRDefault="00A56E68" w14:paraId="176944A5" w14:textId="1A926151">
      <w:pPr>
        <w:ind w:left="720"/>
        <w:jc w:val="both"/>
      </w:pPr>
      <w:r>
        <w:t xml:space="preserve">Sortiment zahrnuje produktové řady </w:t>
      </w:r>
      <w:r>
        <w:t>PCI Multigrund®,</w:t>
      </w:r>
      <w:r>
        <w:t xml:space="preserve"> </w:t>
      </w:r>
      <w:r>
        <w:t>PCI Multiputz®, PCI Multicret® a produkty</w:t>
      </w:r>
      <w:r w:rsidR="00F540BC">
        <w:t xml:space="preserve"> </w:t>
      </w:r>
      <w:r>
        <w:t>PCI Gisogrund® PGM, KVK Parabit EPS 100F,</w:t>
      </w:r>
      <w:r w:rsidR="00F540BC">
        <w:t xml:space="preserve"> </w:t>
      </w:r>
      <w:r>
        <w:t>EPS 70F, EPS 70G.</w:t>
      </w:r>
    </w:p>
    <w:p w:rsidR="00C72A6D" w:rsidP="006F63FD" w:rsidRDefault="00C72A6D" w14:paraId="42B33C85" w14:textId="7DE72016">
      <w:pPr>
        <w:ind w:left="720"/>
        <w:jc w:val="both"/>
      </w:pPr>
      <w:r w:rsidR="00C72A6D">
        <w:rPr/>
        <w:t xml:space="preserve">4.5. Zpracovatelská společnost může </w:t>
      </w:r>
      <w:r w:rsidR="00002FE5">
        <w:rPr/>
        <w:t>během trvání akce</w:t>
      </w:r>
      <w:r w:rsidR="005D42E9">
        <w:rPr/>
        <w:t xml:space="preserve"> získat </w:t>
      </w:r>
      <w:r w:rsidR="00C72A6D">
        <w:rPr/>
        <w:t xml:space="preserve">maximálně </w:t>
      </w:r>
      <w:r w:rsidR="00DA7BA2">
        <w:rPr/>
        <w:t>10</w:t>
      </w:r>
      <w:r w:rsidR="005D42E9">
        <w:rPr/>
        <w:t xml:space="preserve"> odměn</w:t>
      </w:r>
      <w:r w:rsidR="00C72A6D">
        <w:rPr/>
        <w:t xml:space="preserve">. </w:t>
      </w:r>
    </w:p>
    <w:p w:rsidRPr="00C72A6D" w:rsidR="004A3512" w:rsidP="006F63FD" w:rsidRDefault="004A3512" w14:paraId="55CE7417" w14:textId="67CBA868">
      <w:pPr>
        <w:ind w:left="720"/>
        <w:jc w:val="both"/>
      </w:pPr>
      <w:r>
        <w:t xml:space="preserve">4.6. Zpracovatelská společnost bere na vědomí, že odměny lze čerpat pouze do vyčerpání jejich zásob. V případě, že vybraná odměna již nebude k dispozici, má </w:t>
      </w:r>
      <w:r w:rsidR="00CE7B67">
        <w:t>pořadatel</w:t>
      </w:r>
      <w:r>
        <w:t xml:space="preserve"> akce právo (nikoliv povinnost), nabídnout zpracovatelské společnosti jinou, obdobnou odměnu, jakou měl v úmyslu si vybrat. </w:t>
      </w:r>
    </w:p>
    <w:p w:rsidR="009A7DA3" w:rsidP="006F63FD" w:rsidRDefault="0043137E" w14:paraId="42D096B8" w14:textId="2BD494F3">
      <w:pPr>
        <w:numPr>
          <w:ilvl w:val="0"/>
          <w:numId w:val="1"/>
        </w:numPr>
        <w:jc w:val="both"/>
      </w:pPr>
      <w:r w:rsidRPr="0043137E">
        <w:rPr>
          <w:b/>
          <w:bCs/>
        </w:rPr>
        <w:t>Splnění podmínek a poskytnutí odměny</w:t>
      </w:r>
      <w:r w:rsidR="00E00C2C">
        <w:rPr>
          <w:b/>
          <w:bCs/>
        </w:rPr>
        <w:t>.</w:t>
      </w:r>
      <w:r w:rsidRPr="0043137E">
        <w:t xml:space="preserve"> </w:t>
      </w:r>
    </w:p>
    <w:p w:rsidR="009A7DA3" w:rsidP="009A7DA3" w:rsidRDefault="0043137E" w14:paraId="12F4D792" w14:textId="721F3070">
      <w:pPr>
        <w:ind w:left="720"/>
        <w:jc w:val="both"/>
      </w:pPr>
      <w:r w:rsidR="0043137E">
        <w:rPr/>
        <w:t xml:space="preserve">5.1. Pro poskytnutí odměny je nutné, aby zpracovatelská společnost dodala do </w:t>
      </w:r>
      <w:r w:rsidR="00DA7BA2">
        <w:rPr/>
        <w:t>9</w:t>
      </w:r>
      <w:r w:rsidR="00E420F8">
        <w:rPr/>
        <w:t xml:space="preserve">. </w:t>
      </w:r>
      <w:r w:rsidR="000A0F57">
        <w:rPr/>
        <w:t>11</w:t>
      </w:r>
      <w:r w:rsidR="00E420F8">
        <w:rPr/>
        <w:t>. 202</w:t>
      </w:r>
      <w:r w:rsidR="00DA7BA2">
        <w:rPr/>
        <w:t>6</w:t>
      </w:r>
      <w:r w:rsidR="0043137E">
        <w:rPr/>
        <w:t xml:space="preserve"> kompletní dokumentaci potvrzenou smluvním velkoobchodním partnerem společnosti Sika CZ, s.r.o. Dokumentace musí obsahovat faktury za odběr produktů </w:t>
      </w:r>
      <w:r w:rsidR="00D260FC">
        <w:rPr/>
        <w:t>PCI a Sika</w:t>
      </w:r>
      <w:r w:rsidR="0043137E">
        <w:rPr/>
        <w:t xml:space="preserve"> v závazném množství</w:t>
      </w:r>
      <w:r w:rsidR="00A76157">
        <w:rPr/>
        <w:t xml:space="preserve"> a finančním vyjádření</w:t>
      </w:r>
      <w:r w:rsidR="0043137E">
        <w:rPr/>
        <w:t xml:space="preserve">. </w:t>
      </w:r>
    </w:p>
    <w:p w:rsidRPr="00B0602A" w:rsidR="00053E88" w:rsidP="009A7DA3" w:rsidRDefault="00053E88" w14:paraId="0255209E" w14:textId="7541FD04">
      <w:pPr>
        <w:ind w:left="720"/>
        <w:jc w:val="both"/>
      </w:pPr>
      <w:r>
        <w:lastRenderedPageBreak/>
        <w:t>5.2. Dodan</w:t>
      </w:r>
      <w:r w:rsidR="002636A1">
        <w:t>á dokumentace – typicky faktury za odbě</w:t>
      </w:r>
      <w:r w:rsidR="007C4540">
        <w:t>r jsou vystaveny v období trvání a</w:t>
      </w:r>
      <w:r w:rsidRPr="007C4540" w:rsidR="007C4540">
        <w:t>kce</w:t>
      </w:r>
      <w:r w:rsidR="007C4540">
        <w:t xml:space="preserve">, od </w:t>
      </w:r>
      <w:r w:rsidRPr="007C4540" w:rsidR="007C4540">
        <w:t>27. 7. 2026 do 31. 10. 2026.</w:t>
      </w:r>
      <w:r w:rsidR="00C01B56">
        <w:t xml:space="preserve"> Odběratel uvedený na dokladech se shoduje s</w:t>
      </w:r>
      <w:r w:rsidR="006167D9">
        <w:t> účastníkem akce uvedeným na registračním formuláři.</w:t>
      </w:r>
      <w:r w:rsidR="00843C51">
        <w:t xml:space="preserve"> Z dodaných dokladů lze jednoznačně identifikovat veškeré potřebné údaje pro vyhodnocení akce.</w:t>
      </w:r>
    </w:p>
    <w:p w:rsidRPr="00B0602A" w:rsidR="0043137E" w:rsidP="009A7DA3" w:rsidRDefault="0043137E" w14:paraId="3AFB29AD" w14:textId="393AA04D">
      <w:pPr>
        <w:ind w:left="720"/>
        <w:jc w:val="both"/>
      </w:pPr>
      <w:r w:rsidRPr="00B0602A">
        <w:t>5.</w:t>
      </w:r>
      <w:r w:rsidR="00053E88">
        <w:t>3</w:t>
      </w:r>
      <w:r w:rsidRPr="00B0602A">
        <w:t>. Odměnou jsou věc</w:t>
      </w:r>
      <w:r w:rsidRPr="00B0602A" w:rsidR="009A7DA3">
        <w:t>n</w:t>
      </w:r>
      <w:r w:rsidRPr="00B0602A">
        <w:t xml:space="preserve">é dary nebo poukázky, které budou zpracovatelské společnosti poskytnuty do jednoho měsíce od </w:t>
      </w:r>
      <w:r w:rsidRPr="00B0602A" w:rsidR="006210C8">
        <w:t>předání kompletní dokumentace k odběru</w:t>
      </w:r>
      <w:r w:rsidRPr="00B0602A">
        <w:t xml:space="preserve"> produktů </w:t>
      </w:r>
      <w:r w:rsidRPr="00B0602A" w:rsidR="00F45474">
        <w:t>PCI a Sika.</w:t>
      </w:r>
    </w:p>
    <w:p w:rsidRPr="00B0602A" w:rsidR="001A6DBA" w:rsidP="006F63FD" w:rsidRDefault="0043137E" w14:paraId="6BA5700C" w14:textId="131C69F6">
      <w:pPr>
        <w:numPr>
          <w:ilvl w:val="0"/>
          <w:numId w:val="1"/>
        </w:numPr>
        <w:jc w:val="both"/>
      </w:pPr>
      <w:r w:rsidRPr="00B0602A">
        <w:rPr>
          <w:b/>
          <w:bCs/>
        </w:rPr>
        <w:t>Nesplnění podmínek akce</w:t>
      </w:r>
      <w:r w:rsidRPr="00B0602A" w:rsidR="00E00C2C">
        <w:rPr>
          <w:b/>
          <w:bCs/>
        </w:rPr>
        <w:t>.</w:t>
      </w:r>
      <w:r w:rsidRPr="00B0602A">
        <w:t xml:space="preserve"> </w:t>
      </w:r>
    </w:p>
    <w:p w:rsidRPr="00B0602A" w:rsidR="0043137E" w:rsidP="001A6DBA" w:rsidRDefault="0043137E" w14:paraId="507A9369" w14:textId="0EFDBF66">
      <w:pPr>
        <w:ind w:left="720"/>
        <w:jc w:val="both"/>
      </w:pPr>
      <w:r w:rsidRPr="00B0602A">
        <w:t xml:space="preserve">Pokud zpracovatelská společnost nesplní podmínky akce (např. nedodá dokumentaci potvrzující závazný odběr produktů </w:t>
      </w:r>
      <w:r w:rsidRPr="00B0602A" w:rsidR="00653AC9">
        <w:t>PCI a Sika</w:t>
      </w:r>
      <w:r w:rsidRPr="00B0602A">
        <w:t xml:space="preserve"> v požadovaném množství), </w:t>
      </w:r>
      <w:r w:rsidRPr="00B0602A" w:rsidR="00034008">
        <w:t>má společnost Sika CZ</w:t>
      </w:r>
      <w:r w:rsidRPr="00B0602A" w:rsidR="00653AC9">
        <w:t>,</w:t>
      </w:r>
      <w:r w:rsidRPr="00B0602A" w:rsidR="00034008">
        <w:t xml:space="preserve"> s.r.o. právo odstoupit od </w:t>
      </w:r>
      <w:r w:rsidRPr="00B0602A" w:rsidR="00B0602A">
        <w:t>plnění akce</w:t>
      </w:r>
      <w:r w:rsidRPr="00B0602A" w:rsidR="00A4450E">
        <w:t>.</w:t>
      </w:r>
    </w:p>
    <w:p w:rsidRPr="00B0602A" w:rsidR="007D6CC6" w:rsidP="006F63FD" w:rsidRDefault="0043137E" w14:paraId="0FE1568F" w14:textId="06F5F834">
      <w:pPr>
        <w:numPr>
          <w:ilvl w:val="0"/>
          <w:numId w:val="1"/>
        </w:numPr>
        <w:jc w:val="both"/>
      </w:pPr>
      <w:r w:rsidRPr="00B0602A">
        <w:rPr>
          <w:b/>
          <w:bCs/>
        </w:rPr>
        <w:t>Ochrana osobních údajů</w:t>
      </w:r>
      <w:r w:rsidRPr="00B0602A" w:rsidR="00E00C2C">
        <w:rPr>
          <w:b/>
          <w:bCs/>
        </w:rPr>
        <w:t>.</w:t>
      </w:r>
      <w:r w:rsidRPr="00B0602A">
        <w:t xml:space="preserve"> </w:t>
      </w:r>
    </w:p>
    <w:p w:rsidR="007D6CC6" w:rsidP="007D6CC6" w:rsidRDefault="0043137E" w14:paraId="06972CFB" w14:textId="77777777">
      <w:pPr>
        <w:ind w:left="720"/>
        <w:jc w:val="both"/>
      </w:pPr>
      <w:r w:rsidRPr="00B0602A">
        <w:t>7.1. Pořadatel akce je správcem osobních</w:t>
      </w:r>
      <w:r w:rsidRPr="0043137E">
        <w:t xml:space="preserve"> údajů poskytnutých v rámci registrace do akce. </w:t>
      </w:r>
    </w:p>
    <w:p w:rsidR="007D6CC6" w:rsidP="007D6CC6" w:rsidRDefault="0043137E" w14:paraId="10D99CCD" w14:textId="77777777">
      <w:pPr>
        <w:ind w:left="720"/>
        <w:jc w:val="both"/>
      </w:pPr>
      <w:r w:rsidRPr="0043137E">
        <w:t xml:space="preserve">7.2. Veškeré poskytnuté osobní údaje budou zpracovány v souladu s nařízením Evropského parlamentu a Rady (EU) 2016/679 (GDPR) a příslušnými právními předpisy České republiky. </w:t>
      </w:r>
    </w:p>
    <w:p w:rsidR="007D6CC6" w:rsidP="007D6CC6" w:rsidRDefault="0043137E" w14:paraId="356FF977" w14:textId="77777777">
      <w:pPr>
        <w:ind w:left="720"/>
        <w:jc w:val="both"/>
      </w:pPr>
      <w:r w:rsidRPr="0043137E">
        <w:t xml:space="preserve">7.3. Poskytnuté údaje budou využity pouze za účelem organizace a vyhodnocení akce. </w:t>
      </w:r>
    </w:p>
    <w:p w:rsidRPr="0043137E" w:rsidR="0043137E" w:rsidP="007D6CC6" w:rsidRDefault="0043137E" w14:paraId="0975FA84" w14:textId="2F119B36">
      <w:pPr>
        <w:ind w:left="720"/>
        <w:jc w:val="both"/>
      </w:pPr>
      <w:r w:rsidRPr="0043137E">
        <w:t xml:space="preserve">7.4. Účastníci mají právo na přístup ke svým osobním údajům, jejich opravu nebo vymazání, a to kontaktováním pořadatele na </w:t>
      </w:r>
      <w:hyperlink w:history="1" r:id="rId7">
        <w:r w:rsidRPr="00AC2FF1" w:rsidR="005C0ECE">
          <w:rPr>
            <w:rStyle w:val="Hypertextovodkaz"/>
          </w:rPr>
          <w:t>privacy@cz.sika.com</w:t>
        </w:r>
      </w:hyperlink>
      <w:r w:rsidRPr="0043137E">
        <w:t>.</w:t>
      </w:r>
    </w:p>
    <w:p w:rsidR="005C0ECE" w:rsidP="006F63FD" w:rsidRDefault="0043137E" w14:paraId="0B4FC9D2" w14:textId="77777777">
      <w:pPr>
        <w:numPr>
          <w:ilvl w:val="0"/>
          <w:numId w:val="1"/>
        </w:numPr>
        <w:jc w:val="both"/>
      </w:pPr>
      <w:r w:rsidRPr="0043137E">
        <w:rPr>
          <w:b/>
          <w:bCs/>
        </w:rPr>
        <w:t>Závěrečná ustanovení</w:t>
      </w:r>
      <w:r w:rsidR="00E00C2C">
        <w:rPr>
          <w:b/>
          <w:bCs/>
        </w:rPr>
        <w:t>.</w:t>
      </w:r>
      <w:r w:rsidRPr="0043137E">
        <w:t xml:space="preserve"> </w:t>
      </w:r>
    </w:p>
    <w:p w:rsidR="00CE7B67" w:rsidP="005C0ECE" w:rsidRDefault="0043137E" w14:paraId="4D0CE736" w14:textId="77777777">
      <w:pPr>
        <w:ind w:left="720"/>
        <w:jc w:val="both"/>
      </w:pPr>
      <w:r w:rsidRPr="0043137E">
        <w:t>8.1. Pořadatel si vyhrazuje právo pravidla akce kdykoliv změnit nebo akci zrušit.</w:t>
      </w:r>
    </w:p>
    <w:p w:rsidR="005C0ECE" w:rsidP="005C0ECE" w:rsidRDefault="00CE7B67" w14:paraId="48E0DE08" w14:textId="5588ADCF">
      <w:pPr>
        <w:ind w:left="720"/>
        <w:jc w:val="both"/>
      </w:pPr>
      <w:r>
        <w:t xml:space="preserve">8.2. Pořadatel </w:t>
      </w:r>
      <w:r w:rsidR="00484F13">
        <w:t>neposkytuje na odměnu záruku za jakost.</w:t>
      </w:r>
    </w:p>
    <w:p w:rsidR="007E5C68" w:rsidP="005C0ECE" w:rsidRDefault="007E5C68" w14:paraId="24FB68AD" w14:textId="5E419262">
      <w:pPr>
        <w:ind w:left="720"/>
        <w:jc w:val="both"/>
        <w:rPr>
          <w:rFonts w:cstheme="minorHAnsi"/>
          <w:color w:val="1C1E21"/>
        </w:rPr>
      </w:pPr>
      <w:r>
        <w:t xml:space="preserve">8.3. </w:t>
      </w:r>
      <w:r w:rsidRPr="0089362B" w:rsidR="00EA57B2">
        <w:rPr>
          <w:rFonts w:cstheme="minorHAnsi"/>
          <w:color w:val="1C1E21"/>
        </w:rPr>
        <w:t xml:space="preserve">Účastí </w:t>
      </w:r>
      <w:r w:rsidR="00EA57B2">
        <w:rPr>
          <w:rFonts w:cstheme="minorHAnsi"/>
          <w:color w:val="1C1E21"/>
        </w:rPr>
        <w:t>na akci</w:t>
      </w:r>
      <w:r w:rsidRPr="0089362B" w:rsidR="00EA57B2">
        <w:rPr>
          <w:rFonts w:cstheme="minorHAnsi"/>
          <w:color w:val="1C1E21"/>
        </w:rPr>
        <w:t xml:space="preserve"> projevuje každ</w:t>
      </w:r>
      <w:r w:rsidR="00EA57B2">
        <w:rPr>
          <w:rFonts w:cstheme="minorHAnsi"/>
          <w:color w:val="1C1E21"/>
        </w:rPr>
        <w:t>á zpracovatelská společnost</w:t>
      </w:r>
      <w:r w:rsidRPr="0089362B" w:rsidR="00EA57B2">
        <w:rPr>
          <w:rFonts w:cstheme="minorHAnsi"/>
          <w:color w:val="1C1E21"/>
        </w:rPr>
        <w:t xml:space="preserve"> svůj souhlas s pravidly a zavazuje se tato pravidla bezvýhradně dodržovat.</w:t>
      </w:r>
    </w:p>
    <w:p w:rsidR="006E09F9" w:rsidP="005C0ECE" w:rsidRDefault="006E09F9" w14:paraId="4A259401" w14:textId="61B4A35C">
      <w:pPr>
        <w:ind w:left="720"/>
        <w:jc w:val="both"/>
        <w:rPr>
          <w:rFonts w:cstheme="minorHAnsi"/>
          <w:color w:val="1C1E21"/>
        </w:rPr>
      </w:pPr>
      <w:r>
        <w:t xml:space="preserve">8.4. </w:t>
      </w:r>
      <w:r w:rsidRPr="0089362B">
        <w:rPr>
          <w:rFonts w:cstheme="minorHAnsi"/>
          <w:color w:val="1C1E21"/>
        </w:rPr>
        <w:t xml:space="preserve">Nesplněním stanovených podmínek nebo jednáním v rozporu s pravidly ztrácí </w:t>
      </w:r>
      <w:r>
        <w:rPr>
          <w:rFonts w:cstheme="minorHAnsi"/>
          <w:color w:val="1C1E21"/>
        </w:rPr>
        <w:t xml:space="preserve">zpracovatelská společnost </w:t>
      </w:r>
      <w:r w:rsidRPr="0089362B">
        <w:rPr>
          <w:rFonts w:cstheme="minorHAnsi"/>
          <w:color w:val="1C1E21"/>
        </w:rPr>
        <w:t xml:space="preserve">svoji účast </w:t>
      </w:r>
      <w:r>
        <w:rPr>
          <w:rFonts w:cstheme="minorHAnsi"/>
          <w:color w:val="1C1E21"/>
        </w:rPr>
        <w:t>na akci</w:t>
      </w:r>
      <w:r w:rsidRPr="0089362B">
        <w:rPr>
          <w:rFonts w:cstheme="minorHAnsi"/>
          <w:color w:val="1C1E21"/>
        </w:rPr>
        <w:t xml:space="preserve"> a případnou </w:t>
      </w:r>
      <w:r>
        <w:rPr>
          <w:rFonts w:cstheme="minorHAnsi"/>
          <w:color w:val="1C1E21"/>
        </w:rPr>
        <w:t>odměnu</w:t>
      </w:r>
      <w:r w:rsidRPr="0089362B">
        <w:rPr>
          <w:rFonts w:cstheme="minorHAnsi"/>
          <w:color w:val="1C1E21"/>
        </w:rPr>
        <w:t xml:space="preserve">. Sporné otázky posuzuje </w:t>
      </w:r>
      <w:r>
        <w:rPr>
          <w:rFonts w:cstheme="minorHAnsi"/>
          <w:color w:val="1C1E21"/>
        </w:rPr>
        <w:t xml:space="preserve">výhradně </w:t>
      </w:r>
      <w:r w:rsidRPr="0089362B">
        <w:rPr>
          <w:rFonts w:cstheme="minorHAnsi"/>
          <w:color w:val="1C1E21"/>
        </w:rPr>
        <w:t>pořadatel</w:t>
      </w:r>
      <w:r>
        <w:rPr>
          <w:rFonts w:cstheme="minorHAnsi"/>
          <w:color w:val="1C1E21"/>
        </w:rPr>
        <w:t xml:space="preserve"> akce</w:t>
      </w:r>
      <w:r w:rsidRPr="0089362B">
        <w:rPr>
          <w:rFonts w:cstheme="minorHAnsi"/>
          <w:color w:val="1C1E21"/>
        </w:rPr>
        <w:t>.</w:t>
      </w:r>
    </w:p>
    <w:p w:rsidR="009822FE" w:rsidP="005C0ECE" w:rsidRDefault="009822FE" w14:paraId="52E01445" w14:textId="161B1698">
      <w:pPr>
        <w:ind w:left="720"/>
        <w:jc w:val="both"/>
      </w:pPr>
      <w:r>
        <w:t xml:space="preserve">8.5. </w:t>
      </w:r>
      <w:r w:rsidRPr="0089362B">
        <w:rPr>
          <w:rFonts w:cstheme="minorHAnsi"/>
          <w:color w:val="1C1E21"/>
        </w:rPr>
        <w:t xml:space="preserve">Výsledky </w:t>
      </w:r>
      <w:r>
        <w:rPr>
          <w:rFonts w:cstheme="minorHAnsi"/>
          <w:color w:val="1C1E21"/>
        </w:rPr>
        <w:t>akce</w:t>
      </w:r>
      <w:r w:rsidRPr="0089362B">
        <w:rPr>
          <w:rFonts w:cstheme="minorHAnsi"/>
          <w:color w:val="1C1E21"/>
        </w:rPr>
        <w:t xml:space="preserve"> jsou konečné, bez možnosti odvolání. Vymáhání účasti </w:t>
      </w:r>
      <w:r>
        <w:rPr>
          <w:rFonts w:cstheme="minorHAnsi"/>
          <w:color w:val="1C1E21"/>
        </w:rPr>
        <w:t>na akci</w:t>
      </w:r>
      <w:r w:rsidRPr="0089362B">
        <w:rPr>
          <w:rFonts w:cstheme="minorHAnsi"/>
          <w:color w:val="1C1E21"/>
        </w:rPr>
        <w:t xml:space="preserve"> nebo </w:t>
      </w:r>
      <w:r>
        <w:rPr>
          <w:rFonts w:cstheme="minorHAnsi"/>
          <w:color w:val="1C1E21"/>
        </w:rPr>
        <w:t>odměn</w:t>
      </w:r>
      <w:r w:rsidRPr="0089362B">
        <w:rPr>
          <w:rFonts w:cstheme="minorHAnsi"/>
          <w:color w:val="1C1E21"/>
        </w:rPr>
        <w:t xml:space="preserve"> soudní nebo jinou právní cestou je vyloučeno.</w:t>
      </w:r>
    </w:p>
    <w:p w:rsidR="0043137E" w:rsidP="005C0ECE" w:rsidRDefault="0043137E" w14:paraId="0E18457D" w14:textId="6BDF45D8">
      <w:pPr>
        <w:ind w:left="720"/>
        <w:jc w:val="both"/>
      </w:pPr>
      <w:r w:rsidRPr="0043137E">
        <w:t>8.</w:t>
      </w:r>
      <w:r w:rsidR="0026697C">
        <w:t>6</w:t>
      </w:r>
      <w:r w:rsidRPr="0043137E">
        <w:t>. Aktuální pravidla akce budou zveřejněna na webových stránkách pořadatele.</w:t>
      </w:r>
    </w:p>
    <w:p w:rsidR="009A5A3B" w:rsidRDefault="009A5A3B" w14:paraId="400B42D5" w14:textId="77777777"/>
    <w:sectPr w:rsidR="009A5A3B">
      <w:footerReference w:type="even" r:id="rId8"/>
      <w:footerReference w:type="default" r:id="rId9"/>
      <w:footerReference w:type="firs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55BC" w:rsidP="00CD0267" w:rsidRDefault="002655BC" w14:paraId="645B0878" w14:textId="77777777">
      <w:pPr>
        <w:spacing w:after="0" w:line="240" w:lineRule="auto"/>
      </w:pPr>
      <w:r>
        <w:separator/>
      </w:r>
    </w:p>
  </w:endnote>
  <w:endnote w:type="continuationSeparator" w:id="0">
    <w:p w:rsidR="002655BC" w:rsidP="00CD0267" w:rsidRDefault="002655BC" w14:paraId="04389B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D0267" w:rsidRDefault="00CD0267" w14:paraId="47A78F9F" w14:textId="471FABE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134E68" wp14:editId="2B0CB6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1315" cy="307340"/>
              <wp:effectExtent l="0" t="0" r="635" b="0"/>
              <wp:wrapNone/>
              <wp:docPr id="79250601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3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D0267" w:rsidR="00CD0267" w:rsidP="00CD0267" w:rsidRDefault="00CD0267" w14:paraId="02DB9E60" w14:textId="3E576E7D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CD026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5134E68">
              <v:stroke joinstyle="miter"/>
              <v:path gradientshapeok="t" o:connecttype="rect"/>
            </v:shapetype>
            <v:shape id="Textové pole 2" style="position:absolute;margin-left:0;margin-top:0;width:28.45pt;height:24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">
              <v:textbox style="mso-fit-shape-to-text:t" inset="0,0,0,15pt">
                <w:txbxContent>
                  <w:p w:rsidRPr="00CD0267" w:rsidR="00CD0267" w:rsidP="00CD0267" w:rsidRDefault="00CD0267" w14:paraId="02DB9E60" w14:textId="3E576E7D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CD0267">
                      <w:rPr>
                        <w:rFonts w:ascii="Calibri" w:hAnsi="Calibri" w:eastAsia="Calibri" w:cs="Calibri"/>
                        <w:noProof/>
                        <w:color w:val="000000"/>
                        <w:sz w:val="14"/>
                        <w:szCs w:val="1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D0267" w:rsidRDefault="00CD0267" w14:paraId="12BCB4CF" w14:textId="140647D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FF1810" wp14:editId="16D6F205">
              <wp:simplePos x="90487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1315" cy="307340"/>
              <wp:effectExtent l="0" t="0" r="635" b="0"/>
              <wp:wrapNone/>
              <wp:docPr id="796752545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3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D0267" w:rsidR="00CD0267" w:rsidP="00CD0267" w:rsidRDefault="00CD0267" w14:paraId="206DCC50" w14:textId="2F43D46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CD026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FFF1810">
              <v:stroke joinstyle="miter"/>
              <v:path gradientshapeok="t" o:connecttype="rect"/>
            </v:shapetype>
            <v:shape id="Textové pole 3" style="position:absolute;margin-left:0;margin-top:0;width:28.45pt;height:24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">
              <v:textbox style="mso-fit-shape-to-text:t" inset="0,0,0,15pt">
                <w:txbxContent>
                  <w:p w:rsidRPr="00CD0267" w:rsidR="00CD0267" w:rsidP="00CD0267" w:rsidRDefault="00CD0267" w14:paraId="206DCC50" w14:textId="2F43D46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CD0267">
                      <w:rPr>
                        <w:rFonts w:ascii="Calibri" w:hAnsi="Calibri" w:eastAsia="Calibri" w:cs="Calibri"/>
                        <w:noProof/>
                        <w:color w:val="000000"/>
                        <w:sz w:val="14"/>
                        <w:szCs w:val="1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CD0267" w:rsidRDefault="00CD0267" w14:paraId="3A7EDCE8" w14:textId="71A238C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6891B7" wp14:editId="2A3C27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61315" cy="307340"/>
              <wp:effectExtent l="0" t="0" r="635" b="0"/>
              <wp:wrapNone/>
              <wp:docPr id="357209155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3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D0267" w:rsidR="00CD0267" w:rsidP="00CD0267" w:rsidRDefault="00CD0267" w14:paraId="0A4B5A84" w14:textId="07DC38E6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CD0267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76891B7">
              <v:stroke joinstyle="miter"/>
              <v:path gradientshapeok="t" o:connecttype="rect"/>
            </v:shapetype>
            <v:shape id="Textové pole 1" style="position:absolute;margin-left:0;margin-top:0;width:28.45pt;height:24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">
              <v:textbox style="mso-fit-shape-to-text:t" inset="0,0,0,15pt">
                <w:txbxContent>
                  <w:p w:rsidRPr="00CD0267" w:rsidR="00CD0267" w:rsidP="00CD0267" w:rsidRDefault="00CD0267" w14:paraId="0A4B5A84" w14:textId="07DC38E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CD0267">
                      <w:rPr>
                        <w:rFonts w:ascii="Calibri" w:hAnsi="Calibri" w:eastAsia="Calibri" w:cs="Calibri"/>
                        <w:noProof/>
                        <w:color w:val="000000"/>
                        <w:sz w:val="14"/>
                        <w:szCs w:val="1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55BC" w:rsidP="00CD0267" w:rsidRDefault="002655BC" w14:paraId="4740C41D" w14:textId="77777777">
      <w:pPr>
        <w:spacing w:after="0" w:line="240" w:lineRule="auto"/>
      </w:pPr>
      <w:r>
        <w:separator/>
      </w:r>
    </w:p>
  </w:footnote>
  <w:footnote w:type="continuationSeparator" w:id="0">
    <w:p w:rsidR="002655BC" w:rsidP="00CD0267" w:rsidRDefault="002655BC" w14:paraId="7DEF500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3CAF"/>
    <w:multiLevelType w:val="multilevel"/>
    <w:tmpl w:val="96AA6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9917CA"/>
    <w:multiLevelType w:val="hybridMultilevel"/>
    <w:tmpl w:val="01A68794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7FE54D00"/>
    <w:multiLevelType w:val="hybridMultilevel"/>
    <w:tmpl w:val="921E0B20"/>
    <w:lvl w:ilvl="0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2061709276">
    <w:abstractNumId w:val="0"/>
  </w:num>
  <w:num w:numId="2" w16cid:durableId="1317802114">
    <w:abstractNumId w:val="2"/>
  </w:num>
  <w:num w:numId="3" w16cid:durableId="148080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37E"/>
    <w:rsid w:val="00002FE5"/>
    <w:rsid w:val="00034008"/>
    <w:rsid w:val="00035688"/>
    <w:rsid w:val="00053E88"/>
    <w:rsid w:val="00077A64"/>
    <w:rsid w:val="00095A97"/>
    <w:rsid w:val="000A0F57"/>
    <w:rsid w:val="000A5646"/>
    <w:rsid w:val="00127B7C"/>
    <w:rsid w:val="001371B4"/>
    <w:rsid w:val="001656DE"/>
    <w:rsid w:val="00167E8F"/>
    <w:rsid w:val="001A6DBA"/>
    <w:rsid w:val="00224FF1"/>
    <w:rsid w:val="00225C06"/>
    <w:rsid w:val="00226BCB"/>
    <w:rsid w:val="002636A1"/>
    <w:rsid w:val="002655BC"/>
    <w:rsid w:val="0026697C"/>
    <w:rsid w:val="002F7F4A"/>
    <w:rsid w:val="00315D2D"/>
    <w:rsid w:val="003376D6"/>
    <w:rsid w:val="003C3994"/>
    <w:rsid w:val="003F1F3A"/>
    <w:rsid w:val="0043137E"/>
    <w:rsid w:val="00434DC1"/>
    <w:rsid w:val="00436EB0"/>
    <w:rsid w:val="00475785"/>
    <w:rsid w:val="00484F13"/>
    <w:rsid w:val="004A3512"/>
    <w:rsid w:val="004C2CAC"/>
    <w:rsid w:val="00520874"/>
    <w:rsid w:val="0059709F"/>
    <w:rsid w:val="005C0ECE"/>
    <w:rsid w:val="005D42E9"/>
    <w:rsid w:val="0060358F"/>
    <w:rsid w:val="006167D9"/>
    <w:rsid w:val="006210C8"/>
    <w:rsid w:val="00647B64"/>
    <w:rsid w:val="00653AC9"/>
    <w:rsid w:val="006E09F9"/>
    <w:rsid w:val="006F63FD"/>
    <w:rsid w:val="00702EDC"/>
    <w:rsid w:val="007A53FE"/>
    <w:rsid w:val="007C4540"/>
    <w:rsid w:val="007D6CC6"/>
    <w:rsid w:val="007E5C68"/>
    <w:rsid w:val="007E65CC"/>
    <w:rsid w:val="00826324"/>
    <w:rsid w:val="00843C51"/>
    <w:rsid w:val="008D1298"/>
    <w:rsid w:val="008E5DFA"/>
    <w:rsid w:val="00944882"/>
    <w:rsid w:val="009822FE"/>
    <w:rsid w:val="009A5A3B"/>
    <w:rsid w:val="009A7DA3"/>
    <w:rsid w:val="009F0351"/>
    <w:rsid w:val="00A4450E"/>
    <w:rsid w:val="00A56E68"/>
    <w:rsid w:val="00A76157"/>
    <w:rsid w:val="00AB746C"/>
    <w:rsid w:val="00AD24DD"/>
    <w:rsid w:val="00AE3EC7"/>
    <w:rsid w:val="00AE3F18"/>
    <w:rsid w:val="00B0602A"/>
    <w:rsid w:val="00B20AA0"/>
    <w:rsid w:val="00B53A35"/>
    <w:rsid w:val="00BA668E"/>
    <w:rsid w:val="00C01B56"/>
    <w:rsid w:val="00C03538"/>
    <w:rsid w:val="00C22F33"/>
    <w:rsid w:val="00C47C04"/>
    <w:rsid w:val="00C72A6D"/>
    <w:rsid w:val="00CD0267"/>
    <w:rsid w:val="00CD0476"/>
    <w:rsid w:val="00CE7B67"/>
    <w:rsid w:val="00D260FC"/>
    <w:rsid w:val="00D93807"/>
    <w:rsid w:val="00DA7BA2"/>
    <w:rsid w:val="00E00C2C"/>
    <w:rsid w:val="00E21011"/>
    <w:rsid w:val="00E420F8"/>
    <w:rsid w:val="00EA57B2"/>
    <w:rsid w:val="00EF502A"/>
    <w:rsid w:val="00F17A20"/>
    <w:rsid w:val="00F45474"/>
    <w:rsid w:val="00F540BC"/>
    <w:rsid w:val="00F77EC6"/>
    <w:rsid w:val="00FA143D"/>
    <w:rsid w:val="3847B7A0"/>
    <w:rsid w:val="6705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2876"/>
  <w15:chartTrackingRefBased/>
  <w15:docId w15:val="{B398D461-E91A-480D-AA9B-C2F963E9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3137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137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1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1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1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1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1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1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1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43137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43137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43137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43137E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43137E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43137E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43137E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43137E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4313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137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4313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1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431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137E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4313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13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3137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137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43137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137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C0ECE"/>
    <w:rPr>
      <w:color w:val="467886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CD026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D0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yperlink" Target="mailto:privacy@cz.sika.com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6d7d17-467a-4c8a-bc82-0da4d92ddbea}" enabled="1" method="Privileged" siteId="{eb8a6a88-d993-4e50-b4f0-ada3df9e78f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Libor Finger</dc:creator>
  <keywords/>
  <dc:description/>
  <lastModifiedBy>Aneta Horakova</lastModifiedBy>
  <revision>44</revision>
  <dcterms:created xsi:type="dcterms:W3CDTF">2026-07-20T07:50:00.0000000Z</dcterms:created>
  <dcterms:modified xsi:type="dcterms:W3CDTF">2026-07-20T11:14:10.8672685Z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154a9443,2f3caea3,2f7d7aa1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df6d7d17-467a-4c8a-bc82-0da4d92ddbea_Enabled">
    <vt:lpwstr>true</vt:lpwstr>
  </property>
  <property fmtid="{D5CDD505-2E9C-101B-9397-08002B2CF9AE}" pid="6" name="MSIP_Label_df6d7d17-467a-4c8a-bc82-0da4d92ddbea_SetDate">
    <vt:lpwstr>2025-03-25T10:01:19Z</vt:lpwstr>
  </property>
  <property fmtid="{D5CDD505-2E9C-101B-9397-08002B2CF9AE}" pid="7" name="MSIP_Label_df6d7d17-467a-4c8a-bc82-0da4d92ddbea_Method">
    <vt:lpwstr>Privileged</vt:lpwstr>
  </property>
  <property fmtid="{D5CDD505-2E9C-101B-9397-08002B2CF9AE}" pid="8" name="MSIP_Label_df6d7d17-467a-4c8a-bc82-0da4d92ddbea_Name">
    <vt:lpwstr>Internal</vt:lpwstr>
  </property>
  <property fmtid="{D5CDD505-2E9C-101B-9397-08002B2CF9AE}" pid="9" name="MSIP_Label_df6d7d17-467a-4c8a-bc82-0da4d92ddbea_SiteId">
    <vt:lpwstr>eb8a6a88-d993-4e50-b4f0-ada3df9e78f8</vt:lpwstr>
  </property>
  <property fmtid="{D5CDD505-2E9C-101B-9397-08002B2CF9AE}" pid="10" name="MSIP_Label_df6d7d17-467a-4c8a-bc82-0da4d92ddbea_ActionId">
    <vt:lpwstr>81d58b57-9459-45ef-99f9-6cd48eed8a5b</vt:lpwstr>
  </property>
  <property fmtid="{D5CDD505-2E9C-101B-9397-08002B2CF9AE}" pid="11" name="MSIP_Label_df6d7d17-467a-4c8a-bc82-0da4d92ddbea_ContentBits">
    <vt:lpwstr>2</vt:lpwstr>
  </property>
  <property fmtid="{D5CDD505-2E9C-101B-9397-08002B2CF9AE}" pid="12" name="MSIP_Label_df6d7d17-467a-4c8a-bc82-0da4d92ddbea_Tag">
    <vt:lpwstr>10, 0, 1, 1</vt:lpwstr>
  </property>
</Properties>
</file>